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0" w:name="_GoBack"/>
            <w:bookmarkEnd w:id="0"/>
            <w:r w:rsidR="0042466C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tručna praksa II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466C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0668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0668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009D8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009D8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55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009D8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100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43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42466C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/Hemija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Dr.sci. 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Osposobiti studente za samostalno izvodjenje rada u hemijskom laboratoriju. Sticanje radnih navika i iskustava, praktičnih znanja i vještina vezanih uz odabranu djelatnost stručne prakse. Upoznavanje sa stvarnim radnim okruženjem, radnim zadacima koji se tamo obavljaju i povezivanje s ljudima iz profesije.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0417" w:rsidRPr="006D0417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>Nakon uspješno odslušanog i položenog kursa studenti će:</w:t>
            </w:r>
          </w:p>
          <w:p w:rsidR="006D272C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>- primjenjivati znanja stečena u hemijskom laboratorij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Uzimanje uzoraka slane vode sirove i prečišćene, krečnog mlijeka,filtrirane vode, amonijačne vode,priprema hemikalija za analizu, priprema otopina, definisati metodu i uraditi fizičko hemijske osobine uzorka slane vode i amonijačne slane vode, koncentraciju,tvrdoća, specifičnu težinu,priprema otopina, priprema hemikalija, uraditi fizičko hemijsku analizu krečnog mlijeka i DS izlaza, koncentraciju, gustinu i sadržaj suspendovanih,priprema otopina, priprema hemikalija, definisati metodu da bi se uradio fizički i hemijski sastav sirove,filtrirane i otpadnih industrijskih voda,pH,mutnoća,suspendovane,priprema uzorka filterskog pepela,šljake,kamena krečnjaka i uraditi sagorivo u pepelu i šljaci, nasipnu težinu, sadržaj CaCO3 u kamenu,priprema otopina, priprema hemikalija za analizu fizičko hemijskih parametara DS lužine, DCB izlaza i ulaza, matične lužine BR, suspendovane,specifičnu težinu,priprema otopina, priprema hemikalija, proizvodnja 0,5 kg CaCO3 99,00%, sa sadržajem Cl 0,1 %. Fizičko hemijske analize za ispitivanje čvrstih goriva iz obnovljivih izvora. Hemijske analize ispitivanja cementa i cementne prašine i ostale hemijske analize sirovina u saradnji sa privrednim subjektima sa kojima fakultet ostvaruje saradnju. 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0417" w:rsidRPr="006D0417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6D0417" w:rsidRPr="006D0417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>- laboratorijske vježbe (LV)</w:t>
            </w:r>
          </w:p>
          <w:p w:rsidR="006D272C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0417" w:rsidRPr="006D0417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>Prisustvo i aktivnost na nastavi                          20 bodova</w:t>
            </w:r>
          </w:p>
          <w:p w:rsidR="006D0417" w:rsidRPr="006D0417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Praktični ispit                                                     </w:t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30 bodova</w:t>
            </w:r>
          </w:p>
          <w:p w:rsidR="006D0417" w:rsidRPr="006D0417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usmeni ispit                                            </w:t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  50 bodova</w:t>
            </w:r>
          </w:p>
          <w:p w:rsidR="006D272C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za studente koji slušaju kurs koriste se: - pismene i/ili - usmene metode. Pismene metode obuhvataju pismenu provjeru znanja na testovima (mini ispitima)  nakon određenih oblasti nastavnog plana.  Pismeni ispiti obuhvataju odvojeno polaganje dijela koji se odnosi na rješavanje primjera/zadataka i dijela koji se odnosi na poznavanje teorije apsolvirane oblasti.  Usmeni dio provjere znanja podrazumijeva odbranu timskog projekta putem prezentacije i druge vidove verbalne komunikacije kroz interaktivni rad. Usmeni ispit 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Studenti koji tokom nastavnog procesa ne osvoje 5 bodova za prisustvo i5 bodova za aktivnosti na časovima neće moći naknadno naknadno sticati bodove po ovom osnovu, osim ako se ustanovi greška u evidentiranju i bodovanju.  Usmena provjera znanja i vještina organizovat će se kao kraća diskusija, od 15-30 minuta, sa osvrtom na srž kursa ili kao test sa ponuđenim pitanjima, te na osnovu rezultata studentima će se predložiti način rješavanja žalbe na stečeni broj bodova.</w:t>
            </w:r>
            <w:r w:rsidR="0042466C" w:rsidRPr="0042466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</w:t>
            </w:r>
            <w:r w:rsidR="006D0417">
              <w:rPr>
                <w:rFonts w:asciiTheme="majorHAnsi" w:hAnsiTheme="majorHAnsi"/>
                <w:b/>
                <w:sz w:val="18"/>
                <w:szCs w:val="18"/>
              </w:rPr>
              <w:t>Praktični ispit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6D0417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1C57F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%, </w:t>
            </w:r>
            <w:r w:rsidR="006D0417">
              <w:rPr>
                <w:rFonts w:asciiTheme="majorHAnsi" w:hAnsiTheme="majorHAnsi"/>
                <w:b/>
                <w:sz w:val="18"/>
                <w:szCs w:val="18"/>
              </w:rPr>
              <w:t>Aktivnost: 2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009D8" w:rsidRPr="00D009D8" w:rsidRDefault="00AA0249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 w:rsidRPr="00D009D8">
              <w:rPr>
                <w:rFonts w:asciiTheme="majorHAnsi" w:hAnsiTheme="majorHAnsi" w:cs="Arial"/>
                <w:b/>
                <w:sz w:val="18"/>
                <w:szCs w:val="18"/>
              </w:rPr>
              <w:t>1.Antioksidansi - oksidacijski stres i antioksidacijska zaštita, Aldina Kesić, Nadira Ibrišimović Mehmedinović, Almir Šestan</w:t>
            </w:r>
          </w:p>
          <w:p w:rsidR="00D009D8" w:rsidRPr="00D009D8" w:rsidRDefault="00D009D8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09D8">
              <w:rPr>
                <w:rFonts w:asciiTheme="majorHAnsi" w:hAnsiTheme="majorHAnsi" w:cs="Arial"/>
                <w:b/>
                <w:sz w:val="18"/>
                <w:szCs w:val="18"/>
              </w:rPr>
              <w:t>2. Kiseonikovi slobodni radikali i prirodni antioksidansi, Dr.Jasna Čanadanović - Brunet, 1998</w:t>
            </w:r>
          </w:p>
          <w:p w:rsidR="00D009D8" w:rsidRPr="00D009D8" w:rsidRDefault="00D009D8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09D8">
              <w:rPr>
                <w:rFonts w:asciiTheme="majorHAnsi" w:hAnsiTheme="majorHAnsi" w:cs="Arial"/>
                <w:b/>
                <w:sz w:val="18"/>
                <w:szCs w:val="18"/>
              </w:rPr>
              <w:t>3. Metali u vodi za piće, Biljana Z. Čirić, 2007</w:t>
            </w:r>
          </w:p>
          <w:p w:rsidR="00D009D8" w:rsidRPr="00D009D8" w:rsidRDefault="00D009D8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09D8">
              <w:rPr>
                <w:rFonts w:asciiTheme="majorHAnsi" w:hAnsiTheme="majorHAnsi" w:cs="Arial"/>
                <w:b/>
                <w:sz w:val="18"/>
                <w:szCs w:val="18"/>
              </w:rPr>
              <w:t>4. Uvod u laboratorijski rad, Nadira Ibrišimović Mehmedinovi, Jasmina Dedić, Mirza Ibrišimović, Aldina Kesić</w:t>
            </w:r>
          </w:p>
          <w:p w:rsidR="006D272C" w:rsidRDefault="00D009D8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09D8">
              <w:rPr>
                <w:rFonts w:asciiTheme="majorHAnsi" w:hAnsiTheme="majorHAnsi" w:cs="Arial"/>
                <w:b/>
                <w:sz w:val="18"/>
                <w:szCs w:val="18"/>
              </w:rPr>
              <w:t>5. V. Mayer, Eksperimentalna nastava kemije, Zagreb, Školska knjiga, 1991.</w:t>
            </w:r>
            <w:r w:rsidR="001C57FB" w:rsidRPr="001C57F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 w:rsidRPr="00D009D8">
              <w:rPr>
                <w:rFonts w:asciiTheme="majorHAnsi" w:hAnsiTheme="majorHAnsi" w:cs="Arial"/>
                <w:b/>
                <w:sz w:val="18"/>
                <w:szCs w:val="18"/>
              </w:rPr>
              <w:t>1. Inženjerstvo mineralnih veziva, Vilko Mandić, Marko Rukavina, zagreb 2024</w:t>
            </w:r>
            <w:r w:rsidR="001C57FB" w:rsidRPr="001C57FB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20AB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820AB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820AB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0AB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820ABD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20AB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20AB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820AB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20AB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20AB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20AB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20AB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20AB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68B" w:rsidRDefault="0040668B">
      <w:pPr>
        <w:spacing w:line="240" w:lineRule="auto"/>
      </w:pPr>
      <w:r>
        <w:separator/>
      </w:r>
    </w:p>
  </w:endnote>
  <w:endnote w:type="continuationSeparator" w:id="0">
    <w:p w:rsidR="0040668B" w:rsidRDefault="004066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20ABD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20AB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20AB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68B" w:rsidRDefault="0040668B">
      <w:pPr>
        <w:spacing w:after="0"/>
      </w:pPr>
      <w:r>
        <w:separator/>
      </w:r>
    </w:p>
  </w:footnote>
  <w:footnote w:type="continuationSeparator" w:id="0">
    <w:p w:rsidR="0040668B" w:rsidRDefault="004066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7FB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54C9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668B"/>
    <w:rsid w:val="00407835"/>
    <w:rsid w:val="00410521"/>
    <w:rsid w:val="00423524"/>
    <w:rsid w:val="0042466C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0417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46F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3C15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0ABD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09D8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457A4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3F1C8-3B1E-4E0F-9EF5-81ACBBBC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2026-03-05T09:38:00Z</dcterms:created>
  <dcterms:modified xsi:type="dcterms:W3CDTF">2026-03-11T11:30:00Z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